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615B8" w14:textId="12E5D06B" w:rsidR="000B6690" w:rsidRPr="000B6690" w:rsidRDefault="000B6690" w:rsidP="000B669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>3GPP TSG-RAN WG2 Meeting #1</w:t>
      </w:r>
      <w:r w:rsidR="0080763E">
        <w:rPr>
          <w:rFonts w:ascii="Arial" w:eastAsia="宋体" w:hAnsi="Arial" w:cs="Arial"/>
          <w:b/>
          <w:noProof/>
          <w:kern w:val="0"/>
          <w:sz w:val="24"/>
          <w:szCs w:val="20"/>
        </w:rPr>
        <w:t>20</w:t>
      </w: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7C7FDE" w:rsidRPr="007C7FDE">
        <w:rPr>
          <w:rFonts w:ascii="Arial" w:eastAsia="宋体" w:hAnsi="Arial" w:cs="Arial"/>
          <w:b/>
          <w:noProof/>
          <w:kern w:val="0"/>
          <w:sz w:val="24"/>
          <w:szCs w:val="20"/>
        </w:rPr>
        <w:t>R2-</w:t>
      </w:r>
      <w:r w:rsidR="00BE3ECD" w:rsidRPr="00BE3ECD">
        <w:t xml:space="preserve"> </w:t>
      </w:r>
      <w:r w:rsidR="006D4F64" w:rsidRPr="006D4F64">
        <w:rPr>
          <w:rFonts w:ascii="Arial" w:eastAsia="宋体" w:hAnsi="Arial" w:cs="Arial"/>
          <w:b/>
          <w:noProof/>
          <w:kern w:val="0"/>
          <w:sz w:val="24"/>
          <w:szCs w:val="20"/>
        </w:rPr>
        <w:t>22</w:t>
      </w:r>
      <w:r w:rsidR="0080763E">
        <w:rPr>
          <w:rFonts w:ascii="Arial" w:eastAsia="宋体" w:hAnsi="Arial" w:cs="Arial"/>
          <w:b/>
          <w:noProof/>
          <w:kern w:val="0"/>
          <w:sz w:val="24"/>
          <w:szCs w:val="20"/>
        </w:rPr>
        <w:t>1</w:t>
      </w:r>
      <w:r w:rsidR="007F0218">
        <w:rPr>
          <w:rFonts w:ascii="Arial" w:eastAsia="宋体" w:hAnsi="Arial" w:cs="Arial"/>
          <w:b/>
          <w:noProof/>
          <w:kern w:val="0"/>
          <w:sz w:val="24"/>
          <w:szCs w:val="20"/>
        </w:rPr>
        <w:t>2030</w:t>
      </w:r>
    </w:p>
    <w:p w14:paraId="4BF14776" w14:textId="4197F22C" w:rsidR="00AA3FAE" w:rsidRPr="005B2E70" w:rsidRDefault="00CC1A0C" w:rsidP="000B6690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>
        <w:rPr>
          <w:rFonts w:ascii="Arial" w:eastAsia="宋体" w:hAnsi="Arial" w:cs="Arial"/>
          <w:b/>
          <w:sz w:val="24"/>
        </w:rPr>
        <w:t>1</w:t>
      </w:r>
      <w:r w:rsidR="0080763E">
        <w:rPr>
          <w:rFonts w:ascii="Arial" w:eastAsia="宋体" w:hAnsi="Arial" w:cs="Arial"/>
          <w:b/>
          <w:sz w:val="24"/>
        </w:rPr>
        <w:t>4</w:t>
      </w:r>
      <w:r w:rsidR="005039F0">
        <w:rPr>
          <w:rFonts w:ascii="Arial" w:eastAsia="宋体" w:hAnsi="Arial" w:cs="Arial"/>
          <w:b/>
          <w:sz w:val="24"/>
          <w:vertAlign w:val="superscript"/>
        </w:rPr>
        <w:t>th</w:t>
      </w:r>
      <w:r w:rsidR="000B6690" w:rsidRPr="005C2CC5">
        <w:rPr>
          <w:rFonts w:ascii="Arial" w:eastAsia="宋体" w:hAnsi="Arial" w:cs="Arial"/>
          <w:b/>
          <w:sz w:val="24"/>
        </w:rPr>
        <w:t>–</w:t>
      </w:r>
      <w:r w:rsidR="00817607">
        <w:rPr>
          <w:rFonts w:ascii="Arial" w:eastAsia="宋体" w:hAnsi="Arial" w:cs="Arial"/>
          <w:b/>
          <w:sz w:val="24"/>
        </w:rPr>
        <w:t xml:space="preserve"> </w:t>
      </w:r>
      <w:r w:rsidR="00D96DF4">
        <w:rPr>
          <w:rFonts w:ascii="Arial" w:eastAsia="宋体" w:hAnsi="Arial" w:cs="Arial"/>
          <w:b/>
          <w:sz w:val="24"/>
        </w:rPr>
        <w:t>1</w:t>
      </w:r>
      <w:r w:rsidR="0080763E">
        <w:rPr>
          <w:rFonts w:ascii="Arial" w:eastAsia="宋体" w:hAnsi="Arial" w:cs="Arial"/>
          <w:b/>
          <w:sz w:val="24"/>
        </w:rPr>
        <w:t>8</w:t>
      </w:r>
      <w:r w:rsidR="005039F0">
        <w:rPr>
          <w:rFonts w:ascii="Arial" w:eastAsia="宋体" w:hAnsi="Arial" w:cs="Arial"/>
          <w:b/>
          <w:sz w:val="24"/>
          <w:vertAlign w:val="superscript"/>
        </w:rPr>
        <w:t>th</w:t>
      </w:r>
      <w:r w:rsidR="007E0AA7">
        <w:rPr>
          <w:rFonts w:ascii="Arial" w:eastAsia="宋体" w:hAnsi="Arial" w:cs="Arial"/>
          <w:b/>
          <w:sz w:val="24"/>
          <w:vertAlign w:val="superscript"/>
        </w:rPr>
        <w:t xml:space="preserve"> </w:t>
      </w:r>
      <w:r w:rsidR="0080763E">
        <w:rPr>
          <w:rFonts w:ascii="Arial" w:eastAsia="宋体" w:hAnsi="Arial" w:cs="Arial"/>
          <w:b/>
          <w:sz w:val="24"/>
        </w:rPr>
        <w:t>November</w:t>
      </w:r>
      <w:r w:rsidR="000B6690" w:rsidRPr="005C2CC5">
        <w:rPr>
          <w:rFonts w:ascii="Arial" w:eastAsia="宋体" w:hAnsi="Arial" w:cs="Arial"/>
          <w:b/>
          <w:sz w:val="24"/>
        </w:rPr>
        <w:t xml:space="preserve"> 202</w:t>
      </w:r>
      <w:r w:rsidR="009A2412">
        <w:rPr>
          <w:rFonts w:ascii="Arial" w:eastAsia="宋体" w:hAnsi="Arial" w:cs="Arial"/>
          <w:b/>
          <w:sz w:val="24"/>
        </w:rPr>
        <w:t>2</w:t>
      </w:r>
      <w:r w:rsidR="005B2E7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0B09C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</w:p>
    <w:p w14:paraId="0A8C0162" w14:textId="12197974" w:rsidR="006F3844" w:rsidRDefault="006F3844" w:rsidP="006F3844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Agenda Item: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8.</w:t>
      </w:r>
      <w:r w:rsidR="005039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12</w:t>
      </w:r>
      <w:r w:rsidR="00175A07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</w:t>
      </w:r>
      <w:r w:rsidR="007E0AA7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2</w:t>
      </w:r>
    </w:p>
    <w:p w14:paraId="3A7B9F35" w14:textId="565143AE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Source: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Lenovo</w:t>
      </w:r>
    </w:p>
    <w:p w14:paraId="396CAC10" w14:textId="0488D9E6" w:rsidR="006F3844" w:rsidRPr="006F3844" w:rsidRDefault="006F3844" w:rsidP="006F3844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Title: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="00253AF0" w:rsidRPr="00253A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Mobility enhancements for mobile IAB-node and its served UE</w:t>
      </w:r>
    </w:p>
    <w:p w14:paraId="586F74AD" w14:textId="77777777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Document for: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Discussion and decision</w:t>
      </w:r>
    </w:p>
    <w:p w14:paraId="46DBFDB8" w14:textId="10C31FE6" w:rsidR="00AA3FAE" w:rsidRPr="000D2B2B" w:rsidRDefault="00AA3FAE" w:rsidP="000D2B2B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0D2B2B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B56E0A4" w14:textId="77777777" w:rsidR="00A61DF4" w:rsidRDefault="00A61DF4" w:rsidP="00A61DF4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detail objectives are identified mainly focus on RAN3 and RAN2.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A61DF4" w14:paraId="059CB986" w14:textId="77777777" w:rsidTr="00F32368">
        <w:trPr>
          <w:trHeight w:val="1266"/>
        </w:trPr>
        <w:tc>
          <w:tcPr>
            <w:tcW w:w="9670" w:type="dxa"/>
          </w:tcPr>
          <w:p w14:paraId="73BCEB24" w14:textId="77777777" w:rsidR="00712DD9" w:rsidRPr="00712DD9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3195C568" w14:textId="77777777" w:rsidR="00712DD9" w:rsidRPr="00712DD9" w:rsidRDefault="00712DD9" w:rsidP="00712DD9">
            <w:pPr>
              <w:pStyle w:val="maintext"/>
              <w:numPr>
                <w:ilvl w:val="1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59C2EE09" w14:textId="77777777" w:rsidR="00712DD9" w:rsidRPr="00712DD9" w:rsidRDefault="00712DD9" w:rsidP="00712DD9">
            <w:pPr>
              <w:pStyle w:val="maintext"/>
              <w:numPr>
                <w:ilvl w:val="1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The mobility of dual-connected IAB-nodes is down-prioritized.</w:t>
            </w:r>
          </w:p>
          <w:p w14:paraId="2632C582" w14:textId="77777777" w:rsidR="00712DD9" w:rsidRPr="00712DD9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 xml:space="preserve">Enhancements for mobility of an IAB-node together with </w:t>
            </w:r>
            <w:proofErr w:type="gramStart"/>
            <w:r w:rsidRPr="00712DD9">
              <w:rPr>
                <w:rFonts w:eastAsia="Times New Roman" w:cs="Times New Roman"/>
                <w:lang w:eastAsia="en-US"/>
              </w:rPr>
              <w:t>its</w:t>
            </w:r>
            <w:proofErr w:type="gramEnd"/>
            <w:r w:rsidRPr="00712DD9">
              <w:rPr>
                <w:rFonts w:eastAsia="Times New Roman" w:cs="Times New Roman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04CFD7D5" w14:textId="77777777" w:rsidR="00712DD9" w:rsidRPr="00712DD9" w:rsidRDefault="00712DD9" w:rsidP="00712DD9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lang w:eastAsia="en-US"/>
              </w:rPr>
            </w:pPr>
            <w:r w:rsidRPr="00712DD9">
              <w:rPr>
                <w:rFonts w:eastAsia="Times New Roman" w:cs="Times New Roman"/>
                <w:i/>
                <w:iCs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6263D6" w14:textId="3497C46C" w:rsidR="00A61DF4" w:rsidRPr="00732338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lang w:eastAsia="en-GB"/>
              </w:rPr>
            </w:pPr>
            <w:r w:rsidRPr="00712DD9">
              <w:rPr>
                <w:rFonts w:eastAsia="Times New Roman" w:cs="Times New Roman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712DD9">
              <w:rPr>
                <w:rFonts w:eastAsia="Times New Roman" w:cs="Times New Roman"/>
                <w:lang w:eastAsia="en-US"/>
              </w:rPr>
              <w:t>e.g.</w:t>
            </w:r>
            <w:proofErr w:type="gramEnd"/>
            <w:r w:rsidRPr="00712DD9">
              <w:rPr>
                <w:rFonts w:eastAsia="Times New Roman" w:cs="Times New Roman"/>
                <w:lang w:eastAsia="en-US"/>
              </w:rPr>
              <w:t xml:space="preserve"> PCI, RACH). [RAN3, RAN2]</w:t>
            </w:r>
          </w:p>
        </w:tc>
      </w:tr>
    </w:tbl>
    <w:p w14:paraId="0B940363" w14:textId="279EC99E" w:rsidR="00A61DF4" w:rsidRDefault="00A61DF4" w:rsidP="00A61DF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 enhancement</w:t>
      </w:r>
      <w:r w:rsidR="006F3309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mobile IAB-node mobility 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is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discussed, including </w:t>
      </w:r>
      <w:r w:rsidRPr="006E5566">
        <w:rPr>
          <w:rFonts w:ascii="Times New Roman" w:eastAsia="宋体" w:hAnsi="Times New Roman" w:cs="Times New Roman"/>
          <w:kern w:val="0"/>
          <w:sz w:val="20"/>
          <w:szCs w:val="20"/>
        </w:rPr>
        <w:t>aspects related to group mobility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 its served UE.</w:t>
      </w:r>
      <w:r w:rsidR="00D869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7F0D14A" w14:textId="270B1293" w:rsidR="00AA3FAE" w:rsidRPr="001119CE" w:rsidRDefault="00AA3FAE" w:rsidP="001119CE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1119C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89447D0" w14:textId="428DE2D4" w:rsidR="0096468A" w:rsidRDefault="0066723C" w:rsidP="0079429A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66723C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Mobile</w:t>
      </w:r>
      <w:r w:rsidR="009D0A7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 w:rsidRPr="0066723C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IAB-node to network indication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404AE4" w14:paraId="6EF48AAE" w14:textId="77777777" w:rsidTr="000D4E54">
        <w:trPr>
          <w:trHeight w:val="630"/>
        </w:trPr>
        <w:tc>
          <w:tcPr>
            <w:tcW w:w="9639" w:type="dxa"/>
          </w:tcPr>
          <w:p w14:paraId="625B9874" w14:textId="1797AF36" w:rsidR="00404AE4" w:rsidRPr="00404AE4" w:rsidRDefault="00404AE4" w:rsidP="00404AE4">
            <w:pPr>
              <w:pStyle w:val="Agreement"/>
              <w:tabs>
                <w:tab w:val="num" w:pos="1619"/>
              </w:tabs>
              <w:ind w:left="924" w:hanging="357"/>
            </w:pPr>
            <w:r w:rsidRPr="00124A53">
              <w:t xml:space="preserve">UE capability signalling is the baseline to let CU know that the MT is a “mobile-IAB” type. FFS </w:t>
            </w:r>
            <w:r>
              <w:t xml:space="preserve">early </w:t>
            </w:r>
            <w:r w:rsidRPr="00124A53">
              <w:t>mobile-IAB indication</w:t>
            </w:r>
            <w:r>
              <w:t xml:space="preserve">,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124A53">
              <w:t>in Msg5.</w:t>
            </w:r>
          </w:p>
        </w:tc>
      </w:tr>
    </w:tbl>
    <w:p w14:paraId="00BF25F7" w14:textId="5D0B8124" w:rsidR="00C0232F" w:rsidRDefault="005A3F3D" w:rsidP="00C0232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Pr="005A3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n R16 for the stationary IAB-node,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during</w:t>
      </w:r>
      <w:r w:rsidRPr="005A3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IAB-node integration procedure, the IAB-MT includes the IAB-node indication in </w:t>
      </w:r>
      <w:proofErr w:type="spellStart"/>
      <w:r w:rsidRPr="005A3F3D">
        <w:rPr>
          <w:rFonts w:ascii="Times New Roman" w:eastAsia="宋体" w:hAnsi="Times New Roman" w:cs="Times New Roman"/>
          <w:kern w:val="0"/>
          <w:sz w:val="20"/>
          <w:szCs w:val="20"/>
        </w:rPr>
        <w:t>RRCSetupComplete</w:t>
      </w:r>
      <w:proofErr w:type="spellEnd"/>
      <w:r w:rsidRPr="005A3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 to indicate its IAB capability and to assist the IAB-donor to select an AMF supporting IAB. </w:t>
      </w:r>
      <w:r w:rsidR="00394A0E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the mobile IAB-node use common AMF as the stationary IAB-node, the </w:t>
      </w:r>
      <w:r w:rsidR="00394A0E" w:rsidRPr="005A3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IAB-node indication in </w:t>
      </w:r>
      <w:proofErr w:type="spellStart"/>
      <w:r w:rsidR="00394A0E" w:rsidRPr="005A3F3D">
        <w:rPr>
          <w:rFonts w:ascii="Times New Roman" w:eastAsia="宋体" w:hAnsi="Times New Roman" w:cs="Times New Roman"/>
          <w:kern w:val="0"/>
          <w:sz w:val="20"/>
          <w:szCs w:val="20"/>
        </w:rPr>
        <w:t>RRCSetupComplete</w:t>
      </w:r>
      <w:proofErr w:type="spellEnd"/>
      <w:r w:rsidR="00394A0E" w:rsidRPr="005A3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</w:t>
      </w:r>
      <w:r w:rsidR="00394A0E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 during mobile IAB-node integration. However, once the mobile IAB-node has the specific AMF than stationary IAB-node, early mobile-IAB indication should be introduced</w:t>
      </w:r>
      <w:r w:rsidR="0094075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4075C" w:rsidRPr="0094075C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</w:t>
      </w:r>
      <w:proofErr w:type="spellStart"/>
      <w:r w:rsidR="0094075C" w:rsidRPr="0094075C">
        <w:rPr>
          <w:rFonts w:ascii="Times New Roman" w:eastAsia="宋体" w:hAnsi="Times New Roman" w:cs="Times New Roman"/>
          <w:kern w:val="0"/>
          <w:sz w:val="20"/>
          <w:szCs w:val="20"/>
        </w:rPr>
        <w:t>RRCSetupComplete</w:t>
      </w:r>
      <w:proofErr w:type="spellEnd"/>
      <w:r w:rsidR="0094075C" w:rsidRPr="0094075C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</w:t>
      </w:r>
      <w:r w:rsidR="00394A0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65B6BB3" w14:textId="5B5EB11E" w:rsidR="00394A0E" w:rsidRPr="00394A0E" w:rsidRDefault="00394A0E" w:rsidP="00C0232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94A0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Mobile IAB-MT </w:t>
      </w:r>
      <w:r w:rsidR="004568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indicates</w:t>
      </w:r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</w:t>
      </w:r>
      <w:r w:rsidR="0094075C" w:rsidRPr="0094075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mobile-IAB indication</w:t>
      </w:r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</w:t>
      </w:r>
      <w:proofErr w:type="spellStart"/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RRCSetupComplete</w:t>
      </w:r>
      <w:proofErr w:type="spellEnd"/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message to IAB-donor if mobile IAB-node has specific AMF than stationary IAB-node.</w:t>
      </w:r>
      <w:r w:rsidR="0066723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2A0FC952" w14:textId="216BADA6" w:rsidR="00C0232F" w:rsidRPr="0066723C" w:rsidRDefault="0066723C" w:rsidP="0066723C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66723C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Network to mobile-IAB-node indication</w:t>
      </w:r>
    </w:p>
    <w:tbl>
      <w:tblPr>
        <w:tblW w:w="0" w:type="auto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0"/>
      </w:tblGrid>
      <w:tr w:rsidR="006A1B51" w14:paraId="0EE3B379" w14:textId="77777777" w:rsidTr="006A1B51">
        <w:trPr>
          <w:trHeight w:val="607"/>
        </w:trPr>
        <w:tc>
          <w:tcPr>
            <w:tcW w:w="9660" w:type="dxa"/>
          </w:tcPr>
          <w:p w14:paraId="2016345E" w14:textId="7E797FF0" w:rsidR="006A1B51" w:rsidRPr="006A1B51" w:rsidRDefault="006A1B51" w:rsidP="006A1B51">
            <w:pPr>
              <w:pStyle w:val="Agreement"/>
              <w:tabs>
                <w:tab w:val="num" w:pos="1619"/>
              </w:tabs>
              <w:ind w:left="924" w:hanging="357"/>
            </w:pPr>
            <w:r>
              <w:t xml:space="preserve">FFS if to </w:t>
            </w:r>
            <w:r w:rsidRPr="00124A53">
              <w:t xml:space="preserve">Introduce </w:t>
            </w:r>
            <w:r>
              <w:t>that</w:t>
            </w:r>
            <w:r w:rsidRPr="00124A53">
              <w:t xml:space="preserve"> </w:t>
            </w:r>
            <w:r>
              <w:t xml:space="preserve">stationary </w:t>
            </w:r>
            <w:r w:rsidRPr="00124A53">
              <w:t>network broadcast</w:t>
            </w:r>
            <w:r>
              <w:t>s</w:t>
            </w:r>
            <w:r w:rsidRPr="00124A53">
              <w:t xml:space="preserve"> indication of “supporting mobile-IAB”</w:t>
            </w:r>
            <w:r>
              <w:t xml:space="preserve"> (into intended for the Mobile IAB MT)</w:t>
            </w:r>
          </w:p>
        </w:tc>
      </w:tr>
    </w:tbl>
    <w:p w14:paraId="0B9B0F13" w14:textId="1537A6A9" w:rsidR="00C0232F" w:rsidRDefault="00C65F68" w:rsidP="00C0232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Because l</w:t>
      </w:r>
      <w:r w:rsidR="00AC7A35">
        <w:rPr>
          <w:rFonts w:ascii="Times New Roman" w:eastAsia="宋体" w:hAnsi="Times New Roman" w:cs="Times New Roman"/>
          <w:kern w:val="0"/>
          <w:sz w:val="20"/>
          <w:szCs w:val="20"/>
        </w:rPr>
        <w:t>egacy R16/R17 IAB-donor</w:t>
      </w:r>
      <w:r w:rsidR="004B602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AC7A35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parent IAB-node</w:t>
      </w:r>
      <w:r w:rsidR="004B602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AC7A35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not support the functionalities </w:t>
      </w:r>
      <w:r w:rsidR="004B6023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characters that will be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introduced</w:t>
      </w:r>
      <w:r w:rsidR="00AC7A3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the R18 mobile IAB</w:t>
      </w:r>
      <w:r w:rsidR="004B6023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it’s not a good choice for the R18 mobile IAB-node to camp on a legacy R16/R17 </w:t>
      </w:r>
      <w:r w:rsidR="004B6023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IAB-donor or parent IAB-node. </w:t>
      </w:r>
      <w:r w:rsidR="00062DA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</w:t>
      </w:r>
      <w:r w:rsidR="00FC3621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assist the mobile IAB-node access to a suitable IAB-donor or parent IAB-node, </w:t>
      </w:r>
      <w:r w:rsidR="004B3E3C">
        <w:rPr>
          <w:rFonts w:ascii="Times New Roman" w:eastAsia="宋体" w:hAnsi="Times New Roman" w:cs="Times New Roman"/>
          <w:kern w:val="0"/>
          <w:sz w:val="20"/>
          <w:szCs w:val="20"/>
        </w:rPr>
        <w:t>a “</w:t>
      </w:r>
      <w:r w:rsidR="00DC00CD" w:rsidRPr="004B3E3C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>mobile</w:t>
      </w:r>
      <w:r w:rsidR="00671523" w:rsidRPr="004B3E3C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>-IAB</w:t>
      </w:r>
      <w:r w:rsidR="00DC00CD" w:rsidRPr="004B3E3C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>-Support</w:t>
      </w:r>
      <w:r w:rsidR="004B3E3C">
        <w:rPr>
          <w:rFonts w:ascii="Times New Roman" w:eastAsia="宋体" w:hAnsi="Times New Roman" w:cs="Times New Roman"/>
          <w:kern w:val="0"/>
          <w:sz w:val="20"/>
          <w:szCs w:val="20"/>
        </w:rPr>
        <w:t>”</w:t>
      </w:r>
      <w:r w:rsidR="0067152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B3E3C">
        <w:rPr>
          <w:rFonts w:ascii="Times New Roman" w:eastAsia="宋体" w:hAnsi="Times New Roman" w:cs="Times New Roman"/>
          <w:kern w:val="0"/>
          <w:sz w:val="20"/>
          <w:szCs w:val="20"/>
        </w:rPr>
        <w:t>IE can be introduced</w:t>
      </w:r>
      <w:r w:rsidR="00D577F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</w:t>
      </w:r>
      <w:r w:rsidR="004B3E3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577F8">
        <w:rPr>
          <w:rFonts w:ascii="Times New Roman" w:eastAsia="宋体" w:hAnsi="Times New Roman" w:cs="Times New Roman"/>
          <w:kern w:val="0"/>
          <w:sz w:val="20"/>
          <w:szCs w:val="20"/>
        </w:rPr>
        <w:t>SIB1 just as</w:t>
      </w:r>
      <w:r w:rsidR="004B3E3C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“</w:t>
      </w:r>
      <w:proofErr w:type="spellStart"/>
      <w:r w:rsidR="004B3E3C">
        <w:rPr>
          <w:rFonts w:ascii="Times New Roman" w:hAnsi="Times New Roman" w:cs="Times New Roman"/>
          <w:i/>
          <w:lang w:val="en-GB"/>
        </w:rPr>
        <w:t>iab</w:t>
      </w:r>
      <w:proofErr w:type="spellEnd"/>
      <w:r w:rsidR="004B3E3C">
        <w:rPr>
          <w:rFonts w:ascii="Times New Roman" w:hAnsi="Times New Roman" w:cs="Times New Roman"/>
          <w:i/>
          <w:lang w:val="en-GB"/>
        </w:rPr>
        <w:t>-Support</w:t>
      </w:r>
      <w:r w:rsidR="004B3E3C">
        <w:rPr>
          <w:rFonts w:ascii="Times New Roman" w:hAnsi="Times New Roman" w:cs="Times New Roman"/>
          <w:lang w:val="en-GB"/>
        </w:rPr>
        <w:t xml:space="preserve">” </w:t>
      </w:r>
      <w:r w:rsidR="004B3E3C">
        <w:rPr>
          <w:rFonts w:ascii="Times New Roman" w:eastAsia="宋体" w:hAnsi="Times New Roman" w:cs="Times New Roman"/>
          <w:kern w:val="0"/>
          <w:sz w:val="20"/>
          <w:szCs w:val="20"/>
        </w:rPr>
        <w:t>IE in R16</w:t>
      </w:r>
      <w:r w:rsidR="00D577F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2DE7BC5D" w14:textId="232985B0" w:rsidR="00D577F8" w:rsidRPr="00D577F8" w:rsidRDefault="00D577F8" w:rsidP="00D577F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9E436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IAB-donor-DU or IAB-DU</w:t>
      </w: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broadcast</w:t>
      </w:r>
      <w:r w:rsidR="00CD311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9E436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SIB1 </w:t>
      </w: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that it supports attachment of mobile IAB-nodes.</w:t>
      </w:r>
    </w:p>
    <w:p w14:paraId="797F331F" w14:textId="71078608" w:rsidR="005D0E78" w:rsidRPr="00280554" w:rsidRDefault="00280554" w:rsidP="00280554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2" w:name="OLE_LINK2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Onboard/surrounding UEs</w:t>
      </w:r>
    </w:p>
    <w:tbl>
      <w:tblPr>
        <w:tblW w:w="979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0"/>
      </w:tblGrid>
      <w:tr w:rsidR="00290072" w14:paraId="5BF1B038" w14:textId="77777777" w:rsidTr="00290072">
        <w:trPr>
          <w:trHeight w:val="818"/>
        </w:trPr>
        <w:tc>
          <w:tcPr>
            <w:tcW w:w="9790" w:type="dxa"/>
          </w:tcPr>
          <w:bookmarkEnd w:id="2"/>
          <w:p w14:paraId="5797219F" w14:textId="5BD13CB3" w:rsidR="00290072" w:rsidRPr="00290072" w:rsidRDefault="00290072" w:rsidP="00290072">
            <w:pPr>
              <w:pStyle w:val="Agreement"/>
              <w:tabs>
                <w:tab w:val="num" w:pos="1619"/>
              </w:tabs>
              <w:ind w:left="924" w:hanging="357"/>
            </w:pPr>
            <w:r>
              <w:t xml:space="preserve">RAN2 observes that a </w:t>
            </w:r>
            <w:r w:rsidRPr="00124A53">
              <w:t>UE c</w:t>
            </w:r>
            <w:r>
              <w:t>ould</w:t>
            </w:r>
            <w:r w:rsidRPr="00124A53">
              <w:t xml:space="preserve"> </w:t>
            </w:r>
            <w:r>
              <w:t xml:space="preserve">potentially </w:t>
            </w:r>
            <w:r w:rsidRPr="00124A53">
              <w:t>consider itself on-board of a mobile-IAB cell, if the UE camps on/connects to</w:t>
            </w:r>
            <w:r>
              <w:t xml:space="preserve"> a mobile IAB</w:t>
            </w:r>
            <w:r w:rsidRPr="00124A53">
              <w:t xml:space="preserve"> cell during a long period</w:t>
            </w:r>
            <w:r>
              <w:t xml:space="preserve"> (</w:t>
            </w:r>
            <w:proofErr w:type="gramStart"/>
            <w:r>
              <w:t>i.e.</w:t>
            </w:r>
            <w:proofErr w:type="gramEnd"/>
            <w:r>
              <w:t xml:space="preserve"> the UE then need to know that this is such a cell). FFS the time. FFS if this is needed. </w:t>
            </w:r>
          </w:p>
        </w:tc>
      </w:tr>
    </w:tbl>
    <w:p w14:paraId="764E4D19" w14:textId="77777777" w:rsidR="00280554" w:rsidRDefault="00280554" w:rsidP="0028055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inter-donor full migration due to mobility of the mobile IAB-node, all onboard UEs needs to perform migration together with the mobile IAB-node. While for the surrounding UEs camping on the mobile IAB-node, migration together with the mobile IAB-node is not an optimal choice. Once the surrounding UEs perform migration together with the mobile IAB-node, the measurement result of serving cell become worse gradually due to the mobility of mobile IAB-node, and the surrounding UEs may need to perform handover again within a short time. </w:t>
      </w:r>
    </w:p>
    <w:p w14:paraId="34F0AEB2" w14:textId="64983E26" w:rsidR="00280554" w:rsidRDefault="00280554" w:rsidP="0028055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addition, as specified in the WID, n</w:t>
      </w:r>
      <w:r w:rsidRPr="00E75F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 optimizations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</w:t>
      </w:r>
      <w:r w:rsidRPr="00E75FF9">
        <w:rPr>
          <w:rFonts w:ascii="Times New Roman" w:eastAsia="宋体" w:hAnsi="Times New Roman" w:cs="Times New Roman"/>
          <w:kern w:val="0"/>
          <w:sz w:val="20"/>
          <w:szCs w:val="20"/>
        </w:rPr>
        <w:t>for the targeting of surrounding UEs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which means all enhancements related to group mobility are only considered for the onboard UEs.</w:t>
      </w:r>
      <w:r w:rsidR="006844A4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844A4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have agreed that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RACH-less handover may be only considered for on-board UEs rather than surrounding UEs. Therefore, it’s necessary to differentiate </w:t>
      </w:r>
      <w:r w:rsidRPr="00FC6BB4">
        <w:rPr>
          <w:rFonts w:ascii="Times New Roman" w:eastAsia="宋体" w:hAnsi="Times New Roman" w:cs="Times New Roman"/>
          <w:kern w:val="0"/>
          <w:sz w:val="20"/>
          <w:szCs w:val="20"/>
        </w:rPr>
        <w:t xml:space="preserve">onboard UEs and surrounding UEs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IAB-donor.</w:t>
      </w:r>
      <w:r w:rsid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no matter how UE determine whether it’s in the status of onboard or surrounding, </w:t>
      </w:r>
      <w:r w:rsidR="0002183F"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r w:rsid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needs to </w:t>
      </w:r>
      <w:r w:rsidR="0002183F"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report its onboard/surrounding status to </w:t>
      </w:r>
      <w:r w:rsidR="0002183F"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 w:rsidR="0002183F"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once it determine</w:t>
      </w:r>
      <w:r w:rsidR="003D369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02183F"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status or change</w:t>
      </w:r>
      <w:r w:rsidR="003D369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02183F"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status</w:t>
      </w:r>
      <w:r w:rsidR="0002183F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C768E7B" w14:textId="11DFB4E8" w:rsidR="0002183F" w:rsidRPr="0002183F" w:rsidRDefault="0002183F" w:rsidP="0002183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3: UE reports its onboard/surrounding status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once it determine</w:t>
      </w:r>
      <w:r w:rsidR="003D36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 or change</w:t>
      </w:r>
      <w:r w:rsidR="003D36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status.</w:t>
      </w:r>
    </w:p>
    <w:p w14:paraId="0972002B" w14:textId="47EE920E" w:rsidR="00004B28" w:rsidRPr="00592A23" w:rsidRDefault="00576785" w:rsidP="00592A23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</w:t>
      </w:r>
      <w:r w:rsidRPr="0057678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obility of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mobile </w:t>
      </w:r>
      <w:r w:rsidRPr="0057678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IAB-node together with </w:t>
      </w:r>
      <w:proofErr w:type="gramStart"/>
      <w:r w:rsidRPr="0057678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its</w:t>
      </w:r>
      <w:proofErr w:type="gramEnd"/>
      <w:r w:rsidRPr="0057678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served UEs</w:t>
      </w:r>
    </w:p>
    <w:p w14:paraId="428A68E3" w14:textId="599B5911" w:rsidR="00592A23" w:rsidRDefault="00502B78" w:rsidP="00592A2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5301" w:dyaOrig="3931" w14:anchorId="0389D4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pt;height:143.5pt" o:ole="">
            <v:imagedata r:id="rId8" o:title=""/>
          </v:shape>
          <o:OLEObject Type="Embed" ProgID="Visio.Drawing.15" ShapeID="_x0000_i1025" DrawAspect="Content" ObjectID="_1729059223" r:id="rId9"/>
        </w:object>
      </w:r>
    </w:p>
    <w:p w14:paraId="52E69D03" w14:textId="77777777" w:rsidR="00592A23" w:rsidRPr="005750E7" w:rsidRDefault="00592A23" w:rsidP="00592A2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1. Example of </w:t>
      </w:r>
      <w:r>
        <w:rPr>
          <w:rFonts w:ascii="Times New Roman" w:hAnsi="Times New Roman" w:cs="Times New Roman"/>
          <w:sz w:val="20"/>
          <w:szCs w:val="20"/>
        </w:rPr>
        <w:t>inter-donor migration of mobile IAB-node and its served UE</w:t>
      </w:r>
    </w:p>
    <w:p w14:paraId="3ADEAE67" w14:textId="7EFA8644" w:rsidR="006014DF" w:rsidRDefault="006014DF" w:rsidP="006014D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3" w:name="OLE_LINK9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 shown in Figure 1, the IAB-MT of mobile IAB-node migrates from source IAB-donor1 to target IAB-donor2, and the mobile IAB-node has two logical IAB-DUs that IAB-DU1 terminate</w:t>
      </w:r>
      <w:r w:rsidR="00F1160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at IAB-donor-CU1 and IAB-DU2 terminate</w:t>
      </w:r>
      <w:r w:rsidR="00F1160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at IAB-donor-CU2. As for a served UE of the mobile IAB-node, it performs migration from IAB-DU1 to IAB-DU2.</w:t>
      </w:r>
    </w:p>
    <w:bookmarkEnd w:id="3"/>
    <w:p w14:paraId="5424AA74" w14:textId="20C76273" w:rsidR="00E55CE1" w:rsidRDefault="003516DE" w:rsidP="00536A3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</w:t>
      </w:r>
      <w:r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served </w:t>
      </w:r>
      <w:r w:rsidRPr="00AA3CB7">
        <w:rPr>
          <w:rFonts w:ascii="Times New Roman" w:eastAsia="宋体" w:hAnsi="Times New Roman" w:cs="Times New Roman"/>
          <w:kern w:val="0"/>
          <w:sz w:val="20"/>
          <w:szCs w:val="20"/>
        </w:rPr>
        <w:t>UEs of mobile IAB-node, since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logical IAB-DU1 and target logical IAB-DU2 are co-located physically and</w:t>
      </w:r>
      <w:r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serving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 w:rsidRPr="00AA3CB7">
        <w:rPr>
          <w:rFonts w:ascii="Times New Roman" w:eastAsia="宋体" w:hAnsi="Times New Roman" w:cs="Times New Roman"/>
          <w:kern w:val="0"/>
          <w:sz w:val="20"/>
          <w:szCs w:val="20"/>
        </w:rPr>
        <w:t>IAB-node doesn’t change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UE</w:t>
      </w:r>
      <w:r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the whole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full </w:t>
      </w:r>
      <w:r w:rsidRPr="00AA3CB7">
        <w:rPr>
          <w:rFonts w:ascii="Times New Roman" w:eastAsia="宋体" w:hAnsi="Times New Roman" w:cs="Times New Roman"/>
          <w:kern w:val="0"/>
          <w:sz w:val="20"/>
          <w:szCs w:val="20"/>
        </w:rPr>
        <w:t>migration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IAB-DU migration procedure, which means the air interface between the UE and the mobile IAB-node may be maintained during the </w:t>
      </w:r>
      <w:r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whole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full </w:t>
      </w:r>
      <w:r w:rsidRPr="00AA3CB7">
        <w:rPr>
          <w:rFonts w:ascii="Times New Roman" w:eastAsia="宋体" w:hAnsi="Times New Roman" w:cs="Times New Roman"/>
          <w:kern w:val="0"/>
          <w:sz w:val="20"/>
          <w:szCs w:val="20"/>
        </w:rPr>
        <w:t>migration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IAB-DU migration procedure. </w:t>
      </w:r>
      <w:r w:rsidR="00E55CE1">
        <w:rPr>
          <w:rFonts w:ascii="Times New Roman" w:eastAsia="宋体" w:hAnsi="Times New Roman" w:cs="Times New Roman"/>
          <w:kern w:val="0"/>
          <w:sz w:val="20"/>
          <w:szCs w:val="20"/>
        </w:rPr>
        <w:t>In addition, RAN3 had agreed to d</w:t>
      </w:r>
      <w:r w:rsidR="00E55CE1" w:rsidRPr="00E55CE1">
        <w:rPr>
          <w:rFonts w:ascii="Times New Roman" w:eastAsia="宋体" w:hAnsi="Times New Roman" w:cs="Times New Roman"/>
          <w:kern w:val="0"/>
          <w:sz w:val="20"/>
          <w:szCs w:val="20"/>
        </w:rPr>
        <w:t>iscuss whether and which information can be shared between two logical DUs in case of IAB-DU migration.</w:t>
      </w:r>
    </w:p>
    <w:p w14:paraId="4401691C" w14:textId="20B24DDD" w:rsidR="00DA4EBC" w:rsidRDefault="003516DE" w:rsidP="00536A3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Therefore, in this case, at least some lower layer configurations (RLC, MAC and PHY)</w:t>
      </w:r>
      <w:r w:rsidR="00536A3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 before and after 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UE, and UE is only configured with the delta configuration specified to the target IAB-donor, e.g., key and </w:t>
      </w:r>
      <w:r>
        <w:rPr>
          <w:rFonts w:ascii="Times New Roman" w:hAnsi="Times New Roman" w:cs="Times New Roman"/>
          <w:sz w:val="20"/>
          <w:szCs w:val="20"/>
          <w:lang w:val="en-GB"/>
        </w:rPr>
        <w:t>security algorithms.</w:t>
      </w:r>
      <w:r w:rsidR="00F8389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661A08A5" w14:textId="5A89B7AC" w:rsidR="003516DE" w:rsidRPr="00650A3D" w:rsidRDefault="00536A3C" w:rsidP="00536A3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16F0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B00FA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C16F0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F017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served UE</w:t>
      </w:r>
      <w:r w:rsidR="004568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F017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of mobile IAB-node may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keep </w:t>
      </w:r>
      <w:r w:rsidRPr="00C16F0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lower layer configurations (RLC, MAC and PHY)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D950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during inter-donor full migration</w:t>
      </w:r>
      <w:r w:rsidR="00E55CE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IAB-DU migration</w:t>
      </w:r>
      <w:r w:rsidRPr="00D950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together with the mobile IAB-node.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8E257A4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</w:t>
      </w:r>
      <w:r w:rsidR="00AC214F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AC214F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AC214F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nhancements for mobility of an IAB-node together with </w:t>
      </w:r>
      <w:proofErr w:type="gramStart"/>
      <w:r w:rsidR="00AC214F" w:rsidRPr="0085390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AC214F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</w:p>
    <w:p w14:paraId="0AF54205" w14:textId="664AB189" w:rsidR="00920997" w:rsidRPr="00394A0E" w:rsidRDefault="00920997" w:rsidP="0092099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94A0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Mobile IAB-MT </w:t>
      </w:r>
      <w:r w:rsidR="004568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indicates</w:t>
      </w:r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</w:t>
      </w:r>
      <w:r w:rsidRPr="0094075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mobile-IAB indication</w:t>
      </w:r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</w:t>
      </w:r>
      <w:proofErr w:type="spellStart"/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RRCSetupComplete</w:t>
      </w:r>
      <w:proofErr w:type="spellEnd"/>
      <w:r w:rsidRPr="00394A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message to IAB-donor if mobile IAB-node has specific AMF than stationary IAB-node.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44A2D465" w14:textId="77777777" w:rsidR="00456853" w:rsidRPr="00D577F8" w:rsidRDefault="00456853" w:rsidP="00456853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IAB-donor-DU or IAB-DU</w:t>
      </w: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broadcast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SIB1 </w:t>
      </w:r>
      <w:r w:rsidRPr="00D577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that it supports attachment of mobile IAB-nodes.</w:t>
      </w:r>
    </w:p>
    <w:p w14:paraId="5A1813BE" w14:textId="77777777" w:rsidR="00920997" w:rsidRPr="0002183F" w:rsidRDefault="00920997" w:rsidP="0092099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3: UE reports its onboard/surrounding status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status.</w:t>
      </w:r>
    </w:p>
    <w:p w14:paraId="68BA42DA" w14:textId="705838B1" w:rsidR="00920997" w:rsidRPr="00650A3D" w:rsidRDefault="00920997" w:rsidP="0092099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16F0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C16F0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F017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served UE</w:t>
      </w:r>
      <w:r w:rsidR="004568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F017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of mobile IAB-node may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keep </w:t>
      </w:r>
      <w:r w:rsidRPr="00C16F0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lower layer configurations (RLC, MAC and PHY)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D950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during inter-donor full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IAB-DU migration</w:t>
      </w:r>
      <w:r w:rsidRPr="00D950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together with the mobile IAB-node.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3244BFD7" w14:textId="155EF38F" w:rsidR="00C07627" w:rsidRDefault="00C07627" w:rsidP="00C0762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NR_mobile_IAB. </w:t>
      </w:r>
    </w:p>
    <w:p w14:paraId="6AD8509E" w14:textId="5F124D49" w:rsidR="009762FC" w:rsidRPr="009762FC" w:rsidRDefault="009762FC" w:rsidP="009762FC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RAN2 119</w:t>
      </w:r>
      <w:r w:rsidR="000B6282">
        <w:rPr>
          <w:rFonts w:ascii="Times New Roman" w:eastAsia="宋体" w:hAnsi="Times New Roman" w:cs="Times New Roman"/>
          <w:kern w:val="0"/>
          <w:sz w:val="20"/>
          <w:lang w:val="x-none"/>
        </w:rPr>
        <w:t>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-e meeting.</w:t>
      </w:r>
    </w:p>
    <w:p w14:paraId="7E72C195" w14:textId="77777777" w:rsidR="003E0958" w:rsidRPr="00977DE7" w:rsidRDefault="003E0958" w:rsidP="00A60CDE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</w:p>
    <w:sectPr w:rsidR="003E0958" w:rsidRPr="00977DE7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A5ED4" w14:textId="77777777" w:rsidR="00F22551" w:rsidRDefault="00F22551" w:rsidP="00AA3FAE">
      <w:r>
        <w:separator/>
      </w:r>
    </w:p>
  </w:endnote>
  <w:endnote w:type="continuationSeparator" w:id="0">
    <w:p w14:paraId="7598D0DA" w14:textId="77777777" w:rsidR="00F22551" w:rsidRDefault="00F22551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8FAFD" w14:textId="77777777" w:rsidR="00F22551" w:rsidRDefault="00F22551" w:rsidP="00AA3FAE">
      <w:r>
        <w:separator/>
      </w:r>
    </w:p>
  </w:footnote>
  <w:footnote w:type="continuationSeparator" w:id="0">
    <w:p w14:paraId="7A39FFFA" w14:textId="77777777" w:rsidR="00F22551" w:rsidRDefault="00F22551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7E5"/>
    <w:multiLevelType w:val="hybridMultilevel"/>
    <w:tmpl w:val="AEFEBB4E"/>
    <w:lvl w:ilvl="0" w:tplc="0FE299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84D9D"/>
    <w:multiLevelType w:val="hybridMultilevel"/>
    <w:tmpl w:val="40D0D1F4"/>
    <w:lvl w:ilvl="0" w:tplc="94DC551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4191B"/>
    <w:multiLevelType w:val="hybridMultilevel"/>
    <w:tmpl w:val="CFFEDC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9C737C"/>
    <w:multiLevelType w:val="hybridMultilevel"/>
    <w:tmpl w:val="379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F449F6"/>
    <w:multiLevelType w:val="hybridMultilevel"/>
    <w:tmpl w:val="45E279C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8AB5369"/>
    <w:multiLevelType w:val="hybridMultilevel"/>
    <w:tmpl w:val="C8AADF34"/>
    <w:lvl w:ilvl="0" w:tplc="81760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287E82"/>
    <w:multiLevelType w:val="hybridMultilevel"/>
    <w:tmpl w:val="3312C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0" w15:restartNumberingAfterBreak="0">
    <w:nsid w:val="39CB50B8"/>
    <w:multiLevelType w:val="hybridMultilevel"/>
    <w:tmpl w:val="F1CCA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856923"/>
    <w:multiLevelType w:val="hybridMultilevel"/>
    <w:tmpl w:val="71BA7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0A26513"/>
    <w:multiLevelType w:val="hybridMultilevel"/>
    <w:tmpl w:val="CD90B9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06A15"/>
    <w:multiLevelType w:val="hybridMultilevel"/>
    <w:tmpl w:val="0324F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354A5E"/>
    <w:multiLevelType w:val="hybridMultilevel"/>
    <w:tmpl w:val="8806D4AE"/>
    <w:lvl w:ilvl="0" w:tplc="0FE29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896"/>
        </w:tabs>
        <w:ind w:left="-8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75"/>
        </w:tabs>
        <w:ind w:left="-1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55"/>
        </w:tabs>
        <w:ind w:left="-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"/>
        </w:tabs>
        <w:ind w:left="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2"/>
  </w:num>
  <w:num w:numId="5">
    <w:abstractNumId w:val="7"/>
  </w:num>
  <w:num w:numId="6">
    <w:abstractNumId w:val="16"/>
  </w:num>
  <w:num w:numId="7">
    <w:abstractNumId w:val="14"/>
  </w:num>
  <w:num w:numId="8">
    <w:abstractNumId w:val="8"/>
  </w:num>
  <w:num w:numId="9">
    <w:abstractNumId w:val="0"/>
  </w:num>
  <w:num w:numId="10">
    <w:abstractNumId w:val="5"/>
  </w:num>
  <w:num w:numId="11">
    <w:abstractNumId w:val="10"/>
  </w:num>
  <w:num w:numId="12">
    <w:abstractNumId w:val="15"/>
  </w:num>
  <w:num w:numId="13">
    <w:abstractNumId w:val="11"/>
  </w:num>
  <w:num w:numId="14">
    <w:abstractNumId w:val="6"/>
  </w:num>
  <w:num w:numId="15">
    <w:abstractNumId w:val="1"/>
  </w:num>
  <w:num w:numId="16">
    <w:abstractNumId w:val="13"/>
  </w:num>
  <w:num w:numId="17">
    <w:abstractNumId w:val="3"/>
  </w:num>
  <w:num w:numId="18">
    <w:abstractNumId w:val="1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419"/>
    <w:rsid w:val="00004B28"/>
    <w:rsid w:val="00006633"/>
    <w:rsid w:val="0000703A"/>
    <w:rsid w:val="000078D6"/>
    <w:rsid w:val="0002183F"/>
    <w:rsid w:val="000240AC"/>
    <w:rsid w:val="000277D7"/>
    <w:rsid w:val="00033584"/>
    <w:rsid w:val="00036BFD"/>
    <w:rsid w:val="00036C32"/>
    <w:rsid w:val="00036D3D"/>
    <w:rsid w:val="00037738"/>
    <w:rsid w:val="00037A2D"/>
    <w:rsid w:val="0004320E"/>
    <w:rsid w:val="00043B7B"/>
    <w:rsid w:val="00047545"/>
    <w:rsid w:val="000502FD"/>
    <w:rsid w:val="000505CB"/>
    <w:rsid w:val="00055D15"/>
    <w:rsid w:val="000566E1"/>
    <w:rsid w:val="00060A16"/>
    <w:rsid w:val="00062DAA"/>
    <w:rsid w:val="00064FA3"/>
    <w:rsid w:val="000676A1"/>
    <w:rsid w:val="0007088F"/>
    <w:rsid w:val="000723BB"/>
    <w:rsid w:val="00072574"/>
    <w:rsid w:val="000752E1"/>
    <w:rsid w:val="00080CC2"/>
    <w:rsid w:val="00082EC4"/>
    <w:rsid w:val="0008663F"/>
    <w:rsid w:val="000978FD"/>
    <w:rsid w:val="000A1873"/>
    <w:rsid w:val="000A4883"/>
    <w:rsid w:val="000B09C9"/>
    <w:rsid w:val="000B161E"/>
    <w:rsid w:val="000B1938"/>
    <w:rsid w:val="000B1D18"/>
    <w:rsid w:val="000B2144"/>
    <w:rsid w:val="000B6282"/>
    <w:rsid w:val="000B6690"/>
    <w:rsid w:val="000C008E"/>
    <w:rsid w:val="000C0937"/>
    <w:rsid w:val="000C19A3"/>
    <w:rsid w:val="000C2AA4"/>
    <w:rsid w:val="000D18C1"/>
    <w:rsid w:val="000D2B2B"/>
    <w:rsid w:val="000D4E54"/>
    <w:rsid w:val="000E15E2"/>
    <w:rsid w:val="000E443D"/>
    <w:rsid w:val="000E5A48"/>
    <w:rsid w:val="000E7279"/>
    <w:rsid w:val="000F40EC"/>
    <w:rsid w:val="0010503F"/>
    <w:rsid w:val="001119CE"/>
    <w:rsid w:val="00111B28"/>
    <w:rsid w:val="00114A1F"/>
    <w:rsid w:val="00126DEE"/>
    <w:rsid w:val="00127B59"/>
    <w:rsid w:val="001305AC"/>
    <w:rsid w:val="00131641"/>
    <w:rsid w:val="001322B8"/>
    <w:rsid w:val="00132B08"/>
    <w:rsid w:val="00134957"/>
    <w:rsid w:val="00135BED"/>
    <w:rsid w:val="00135C3C"/>
    <w:rsid w:val="00141555"/>
    <w:rsid w:val="00144C24"/>
    <w:rsid w:val="00152D85"/>
    <w:rsid w:val="001556FC"/>
    <w:rsid w:val="00157E02"/>
    <w:rsid w:val="0016588F"/>
    <w:rsid w:val="00175A07"/>
    <w:rsid w:val="001826EA"/>
    <w:rsid w:val="00185A91"/>
    <w:rsid w:val="00190A87"/>
    <w:rsid w:val="00190FAF"/>
    <w:rsid w:val="00191ACA"/>
    <w:rsid w:val="001A2383"/>
    <w:rsid w:val="001A34F9"/>
    <w:rsid w:val="001A4DB9"/>
    <w:rsid w:val="001A7350"/>
    <w:rsid w:val="001B1D5F"/>
    <w:rsid w:val="001B2FA1"/>
    <w:rsid w:val="001B361E"/>
    <w:rsid w:val="001B4767"/>
    <w:rsid w:val="001B7E53"/>
    <w:rsid w:val="001C1DAB"/>
    <w:rsid w:val="001C1DCC"/>
    <w:rsid w:val="001C473D"/>
    <w:rsid w:val="001D012F"/>
    <w:rsid w:val="001D59CE"/>
    <w:rsid w:val="001D5F73"/>
    <w:rsid w:val="001D69F7"/>
    <w:rsid w:val="001D70B0"/>
    <w:rsid w:val="001F0BEA"/>
    <w:rsid w:val="001F1421"/>
    <w:rsid w:val="00212BCD"/>
    <w:rsid w:val="00212DB4"/>
    <w:rsid w:val="002136B8"/>
    <w:rsid w:val="002144CD"/>
    <w:rsid w:val="002222FA"/>
    <w:rsid w:val="0023239F"/>
    <w:rsid w:val="002340BA"/>
    <w:rsid w:val="00234C75"/>
    <w:rsid w:val="00237A12"/>
    <w:rsid w:val="002428E4"/>
    <w:rsid w:val="0024433A"/>
    <w:rsid w:val="00245E3F"/>
    <w:rsid w:val="002500C6"/>
    <w:rsid w:val="00253AF0"/>
    <w:rsid w:val="002551E1"/>
    <w:rsid w:val="00256265"/>
    <w:rsid w:val="00256FA7"/>
    <w:rsid w:val="00267070"/>
    <w:rsid w:val="00273494"/>
    <w:rsid w:val="00276074"/>
    <w:rsid w:val="00276F97"/>
    <w:rsid w:val="00280554"/>
    <w:rsid w:val="00290072"/>
    <w:rsid w:val="002911AD"/>
    <w:rsid w:val="00296038"/>
    <w:rsid w:val="002A2C8B"/>
    <w:rsid w:val="002A52AF"/>
    <w:rsid w:val="002B110B"/>
    <w:rsid w:val="002B32DD"/>
    <w:rsid w:val="002C1AD2"/>
    <w:rsid w:val="002D4547"/>
    <w:rsid w:val="002D4BCF"/>
    <w:rsid w:val="002D4E9D"/>
    <w:rsid w:val="002D6B36"/>
    <w:rsid w:val="002E61C9"/>
    <w:rsid w:val="002E6200"/>
    <w:rsid w:val="002E692B"/>
    <w:rsid w:val="002E6AB3"/>
    <w:rsid w:val="002E7223"/>
    <w:rsid w:val="002F4BF9"/>
    <w:rsid w:val="002F5ADB"/>
    <w:rsid w:val="002F7DD1"/>
    <w:rsid w:val="0030141D"/>
    <w:rsid w:val="00302732"/>
    <w:rsid w:val="00304AB3"/>
    <w:rsid w:val="0030768E"/>
    <w:rsid w:val="00311F6E"/>
    <w:rsid w:val="003179AD"/>
    <w:rsid w:val="00320179"/>
    <w:rsid w:val="00320565"/>
    <w:rsid w:val="00321461"/>
    <w:rsid w:val="0032189B"/>
    <w:rsid w:val="003235A4"/>
    <w:rsid w:val="00330B37"/>
    <w:rsid w:val="00334DB1"/>
    <w:rsid w:val="00341CB7"/>
    <w:rsid w:val="00342086"/>
    <w:rsid w:val="00343CCD"/>
    <w:rsid w:val="003516DE"/>
    <w:rsid w:val="00361C16"/>
    <w:rsid w:val="00365B8F"/>
    <w:rsid w:val="003679C3"/>
    <w:rsid w:val="00372A8A"/>
    <w:rsid w:val="003731AF"/>
    <w:rsid w:val="0037446F"/>
    <w:rsid w:val="00375C4E"/>
    <w:rsid w:val="00380000"/>
    <w:rsid w:val="00384228"/>
    <w:rsid w:val="00390E2E"/>
    <w:rsid w:val="00390E73"/>
    <w:rsid w:val="00390FB4"/>
    <w:rsid w:val="00392D92"/>
    <w:rsid w:val="00392F22"/>
    <w:rsid w:val="00394045"/>
    <w:rsid w:val="00394A0E"/>
    <w:rsid w:val="003953EC"/>
    <w:rsid w:val="00396E48"/>
    <w:rsid w:val="003A0B1A"/>
    <w:rsid w:val="003A4A2A"/>
    <w:rsid w:val="003A5735"/>
    <w:rsid w:val="003B6F2C"/>
    <w:rsid w:val="003B6F44"/>
    <w:rsid w:val="003B717D"/>
    <w:rsid w:val="003B751D"/>
    <w:rsid w:val="003C2950"/>
    <w:rsid w:val="003C5399"/>
    <w:rsid w:val="003D1A4E"/>
    <w:rsid w:val="003D369B"/>
    <w:rsid w:val="003D3860"/>
    <w:rsid w:val="003D3CD3"/>
    <w:rsid w:val="003D4A95"/>
    <w:rsid w:val="003E0958"/>
    <w:rsid w:val="003E1D22"/>
    <w:rsid w:val="003E3846"/>
    <w:rsid w:val="003F3AFD"/>
    <w:rsid w:val="003F6ABF"/>
    <w:rsid w:val="0040415F"/>
    <w:rsid w:val="00404AE4"/>
    <w:rsid w:val="00406254"/>
    <w:rsid w:val="00412763"/>
    <w:rsid w:val="004136AB"/>
    <w:rsid w:val="00413FAB"/>
    <w:rsid w:val="00414D11"/>
    <w:rsid w:val="00415AD8"/>
    <w:rsid w:val="00415B4C"/>
    <w:rsid w:val="00415D56"/>
    <w:rsid w:val="0042361B"/>
    <w:rsid w:val="004246D2"/>
    <w:rsid w:val="00427CB3"/>
    <w:rsid w:val="00430C1C"/>
    <w:rsid w:val="0043723B"/>
    <w:rsid w:val="00443070"/>
    <w:rsid w:val="0044584A"/>
    <w:rsid w:val="004477D6"/>
    <w:rsid w:val="00450E5B"/>
    <w:rsid w:val="0045226C"/>
    <w:rsid w:val="00452823"/>
    <w:rsid w:val="00456853"/>
    <w:rsid w:val="00457055"/>
    <w:rsid w:val="00463114"/>
    <w:rsid w:val="0046367F"/>
    <w:rsid w:val="00466B81"/>
    <w:rsid w:val="00471709"/>
    <w:rsid w:val="00471AD9"/>
    <w:rsid w:val="0047389C"/>
    <w:rsid w:val="00475801"/>
    <w:rsid w:val="004774BA"/>
    <w:rsid w:val="00486B2C"/>
    <w:rsid w:val="004927F4"/>
    <w:rsid w:val="00494DF4"/>
    <w:rsid w:val="00496030"/>
    <w:rsid w:val="004A0C67"/>
    <w:rsid w:val="004A1AEA"/>
    <w:rsid w:val="004A25BE"/>
    <w:rsid w:val="004A42BB"/>
    <w:rsid w:val="004A5C45"/>
    <w:rsid w:val="004B3E3C"/>
    <w:rsid w:val="004B6023"/>
    <w:rsid w:val="004C60BA"/>
    <w:rsid w:val="004C735E"/>
    <w:rsid w:val="004D32F2"/>
    <w:rsid w:val="004D4385"/>
    <w:rsid w:val="004D606F"/>
    <w:rsid w:val="004D62D5"/>
    <w:rsid w:val="004E3A43"/>
    <w:rsid w:val="004F61DC"/>
    <w:rsid w:val="005007D4"/>
    <w:rsid w:val="00502B78"/>
    <w:rsid w:val="005039F0"/>
    <w:rsid w:val="00512FC9"/>
    <w:rsid w:val="00513AA1"/>
    <w:rsid w:val="0051628D"/>
    <w:rsid w:val="0051755B"/>
    <w:rsid w:val="0052004E"/>
    <w:rsid w:val="00520A23"/>
    <w:rsid w:val="0052635C"/>
    <w:rsid w:val="00530A86"/>
    <w:rsid w:val="00531B04"/>
    <w:rsid w:val="00536A3C"/>
    <w:rsid w:val="00542B46"/>
    <w:rsid w:val="00544DED"/>
    <w:rsid w:val="00551CC7"/>
    <w:rsid w:val="00555FA0"/>
    <w:rsid w:val="00561831"/>
    <w:rsid w:val="00563788"/>
    <w:rsid w:val="00564234"/>
    <w:rsid w:val="005649E8"/>
    <w:rsid w:val="0057053B"/>
    <w:rsid w:val="00575725"/>
    <w:rsid w:val="00576785"/>
    <w:rsid w:val="00576915"/>
    <w:rsid w:val="00581A65"/>
    <w:rsid w:val="00581CF8"/>
    <w:rsid w:val="00585B50"/>
    <w:rsid w:val="00592A23"/>
    <w:rsid w:val="005948A9"/>
    <w:rsid w:val="005955C1"/>
    <w:rsid w:val="005963F4"/>
    <w:rsid w:val="005A382F"/>
    <w:rsid w:val="005A3D99"/>
    <w:rsid w:val="005A3F3D"/>
    <w:rsid w:val="005A5B85"/>
    <w:rsid w:val="005A69FF"/>
    <w:rsid w:val="005B2E70"/>
    <w:rsid w:val="005B5C3C"/>
    <w:rsid w:val="005B7C38"/>
    <w:rsid w:val="005C2CC5"/>
    <w:rsid w:val="005C3F0F"/>
    <w:rsid w:val="005C4076"/>
    <w:rsid w:val="005C506E"/>
    <w:rsid w:val="005C5C02"/>
    <w:rsid w:val="005D0B2C"/>
    <w:rsid w:val="005D0E78"/>
    <w:rsid w:val="005D4401"/>
    <w:rsid w:val="005D4C79"/>
    <w:rsid w:val="005D7561"/>
    <w:rsid w:val="005E13D4"/>
    <w:rsid w:val="005E2E23"/>
    <w:rsid w:val="005E3163"/>
    <w:rsid w:val="005E6FC3"/>
    <w:rsid w:val="005F5AC9"/>
    <w:rsid w:val="006014DF"/>
    <w:rsid w:val="00603256"/>
    <w:rsid w:val="006125F9"/>
    <w:rsid w:val="00616F03"/>
    <w:rsid w:val="00617F75"/>
    <w:rsid w:val="00621AA7"/>
    <w:rsid w:val="0063053E"/>
    <w:rsid w:val="00632A49"/>
    <w:rsid w:val="0063482D"/>
    <w:rsid w:val="00637F05"/>
    <w:rsid w:val="00640255"/>
    <w:rsid w:val="006469D6"/>
    <w:rsid w:val="00650A3D"/>
    <w:rsid w:val="00653BB4"/>
    <w:rsid w:val="006571A2"/>
    <w:rsid w:val="00657FF9"/>
    <w:rsid w:val="00664B31"/>
    <w:rsid w:val="00666EA1"/>
    <w:rsid w:val="0066723C"/>
    <w:rsid w:val="00671523"/>
    <w:rsid w:val="00672C28"/>
    <w:rsid w:val="00673EB7"/>
    <w:rsid w:val="00674294"/>
    <w:rsid w:val="006800AE"/>
    <w:rsid w:val="006812B2"/>
    <w:rsid w:val="006844A4"/>
    <w:rsid w:val="00684A23"/>
    <w:rsid w:val="0069000C"/>
    <w:rsid w:val="006931BD"/>
    <w:rsid w:val="00696D8E"/>
    <w:rsid w:val="0069713B"/>
    <w:rsid w:val="00697690"/>
    <w:rsid w:val="006A0A85"/>
    <w:rsid w:val="006A1B51"/>
    <w:rsid w:val="006A22C3"/>
    <w:rsid w:val="006A7B11"/>
    <w:rsid w:val="006B2408"/>
    <w:rsid w:val="006B763F"/>
    <w:rsid w:val="006B7D13"/>
    <w:rsid w:val="006C17A2"/>
    <w:rsid w:val="006C1F5B"/>
    <w:rsid w:val="006C6E1A"/>
    <w:rsid w:val="006D463C"/>
    <w:rsid w:val="006D4F64"/>
    <w:rsid w:val="006D51EF"/>
    <w:rsid w:val="006D62EA"/>
    <w:rsid w:val="006D6EE7"/>
    <w:rsid w:val="006E7CED"/>
    <w:rsid w:val="006E7F53"/>
    <w:rsid w:val="006F009A"/>
    <w:rsid w:val="006F0E48"/>
    <w:rsid w:val="006F3309"/>
    <w:rsid w:val="006F3844"/>
    <w:rsid w:val="006F5211"/>
    <w:rsid w:val="006F718A"/>
    <w:rsid w:val="006F7948"/>
    <w:rsid w:val="006F7A32"/>
    <w:rsid w:val="00701C8C"/>
    <w:rsid w:val="007025DD"/>
    <w:rsid w:val="00703BAA"/>
    <w:rsid w:val="00707153"/>
    <w:rsid w:val="00707369"/>
    <w:rsid w:val="00711D23"/>
    <w:rsid w:val="00712DD9"/>
    <w:rsid w:val="00714F93"/>
    <w:rsid w:val="007158E6"/>
    <w:rsid w:val="00724078"/>
    <w:rsid w:val="007260FF"/>
    <w:rsid w:val="0073082C"/>
    <w:rsid w:val="00732338"/>
    <w:rsid w:val="00733434"/>
    <w:rsid w:val="007345D8"/>
    <w:rsid w:val="00735937"/>
    <w:rsid w:val="0073758A"/>
    <w:rsid w:val="007514CB"/>
    <w:rsid w:val="00760B23"/>
    <w:rsid w:val="00764288"/>
    <w:rsid w:val="00766391"/>
    <w:rsid w:val="0078172C"/>
    <w:rsid w:val="00785D79"/>
    <w:rsid w:val="0079372C"/>
    <w:rsid w:val="0079429A"/>
    <w:rsid w:val="007A13C5"/>
    <w:rsid w:val="007B0D5E"/>
    <w:rsid w:val="007B510C"/>
    <w:rsid w:val="007C0CA1"/>
    <w:rsid w:val="007C2284"/>
    <w:rsid w:val="007C759A"/>
    <w:rsid w:val="007C7FDE"/>
    <w:rsid w:val="007D41EC"/>
    <w:rsid w:val="007D48BB"/>
    <w:rsid w:val="007E0AA7"/>
    <w:rsid w:val="007E213F"/>
    <w:rsid w:val="007E2405"/>
    <w:rsid w:val="007E2DF6"/>
    <w:rsid w:val="007F0218"/>
    <w:rsid w:val="007F0740"/>
    <w:rsid w:val="007F25EF"/>
    <w:rsid w:val="007F30C7"/>
    <w:rsid w:val="007F34F0"/>
    <w:rsid w:val="007F7505"/>
    <w:rsid w:val="007F7E36"/>
    <w:rsid w:val="007F7F2C"/>
    <w:rsid w:val="00803FA0"/>
    <w:rsid w:val="00804083"/>
    <w:rsid w:val="0080763E"/>
    <w:rsid w:val="00817607"/>
    <w:rsid w:val="008228B0"/>
    <w:rsid w:val="00835D43"/>
    <w:rsid w:val="00841790"/>
    <w:rsid w:val="0084197E"/>
    <w:rsid w:val="0084480A"/>
    <w:rsid w:val="00846209"/>
    <w:rsid w:val="00856607"/>
    <w:rsid w:val="0085709E"/>
    <w:rsid w:val="00865BF3"/>
    <w:rsid w:val="008666A0"/>
    <w:rsid w:val="008703AE"/>
    <w:rsid w:val="0087634F"/>
    <w:rsid w:val="0087797E"/>
    <w:rsid w:val="00880DB1"/>
    <w:rsid w:val="00882390"/>
    <w:rsid w:val="0088277A"/>
    <w:rsid w:val="00882FE4"/>
    <w:rsid w:val="00885223"/>
    <w:rsid w:val="00886368"/>
    <w:rsid w:val="00887CF9"/>
    <w:rsid w:val="00890562"/>
    <w:rsid w:val="00895539"/>
    <w:rsid w:val="00897B68"/>
    <w:rsid w:val="008A15DE"/>
    <w:rsid w:val="008A4F6F"/>
    <w:rsid w:val="008A6753"/>
    <w:rsid w:val="008A6990"/>
    <w:rsid w:val="008A6F6B"/>
    <w:rsid w:val="008B2BFF"/>
    <w:rsid w:val="008B37FF"/>
    <w:rsid w:val="008B5751"/>
    <w:rsid w:val="008C187A"/>
    <w:rsid w:val="008C2206"/>
    <w:rsid w:val="008E1EF4"/>
    <w:rsid w:val="008E393F"/>
    <w:rsid w:val="008E7911"/>
    <w:rsid w:val="008F1CD9"/>
    <w:rsid w:val="008F4460"/>
    <w:rsid w:val="0090218F"/>
    <w:rsid w:val="00905280"/>
    <w:rsid w:val="00910096"/>
    <w:rsid w:val="00912BC3"/>
    <w:rsid w:val="00912CF1"/>
    <w:rsid w:val="00917590"/>
    <w:rsid w:val="00920997"/>
    <w:rsid w:val="00924A6E"/>
    <w:rsid w:val="009271BA"/>
    <w:rsid w:val="00927B05"/>
    <w:rsid w:val="009306C9"/>
    <w:rsid w:val="0093163A"/>
    <w:rsid w:val="00937E22"/>
    <w:rsid w:val="0094075C"/>
    <w:rsid w:val="009460B5"/>
    <w:rsid w:val="0094767F"/>
    <w:rsid w:val="009479CD"/>
    <w:rsid w:val="0095125E"/>
    <w:rsid w:val="00952028"/>
    <w:rsid w:val="0095297E"/>
    <w:rsid w:val="009536EB"/>
    <w:rsid w:val="00956BED"/>
    <w:rsid w:val="0096468A"/>
    <w:rsid w:val="0096631C"/>
    <w:rsid w:val="0096687C"/>
    <w:rsid w:val="00967535"/>
    <w:rsid w:val="0097141E"/>
    <w:rsid w:val="0097259E"/>
    <w:rsid w:val="009762FC"/>
    <w:rsid w:val="00977DE7"/>
    <w:rsid w:val="009862F0"/>
    <w:rsid w:val="009912C5"/>
    <w:rsid w:val="009A1EA2"/>
    <w:rsid w:val="009A2412"/>
    <w:rsid w:val="009A453C"/>
    <w:rsid w:val="009A5EA0"/>
    <w:rsid w:val="009B2CF8"/>
    <w:rsid w:val="009B4AB1"/>
    <w:rsid w:val="009C0AD1"/>
    <w:rsid w:val="009C6980"/>
    <w:rsid w:val="009C7253"/>
    <w:rsid w:val="009D0A75"/>
    <w:rsid w:val="009D661C"/>
    <w:rsid w:val="009E2028"/>
    <w:rsid w:val="009E3E31"/>
    <w:rsid w:val="009E4367"/>
    <w:rsid w:val="009E4A78"/>
    <w:rsid w:val="009E506A"/>
    <w:rsid w:val="009E64E0"/>
    <w:rsid w:val="009F010A"/>
    <w:rsid w:val="009F0D05"/>
    <w:rsid w:val="009F1A67"/>
    <w:rsid w:val="009F2104"/>
    <w:rsid w:val="00A0081A"/>
    <w:rsid w:val="00A00FB4"/>
    <w:rsid w:val="00A02560"/>
    <w:rsid w:val="00A02807"/>
    <w:rsid w:val="00A1302B"/>
    <w:rsid w:val="00A212E3"/>
    <w:rsid w:val="00A2451F"/>
    <w:rsid w:val="00A25371"/>
    <w:rsid w:val="00A25C57"/>
    <w:rsid w:val="00A33FE5"/>
    <w:rsid w:val="00A407AC"/>
    <w:rsid w:val="00A60CDE"/>
    <w:rsid w:val="00A61DF4"/>
    <w:rsid w:val="00A620B4"/>
    <w:rsid w:val="00A675C7"/>
    <w:rsid w:val="00A707C5"/>
    <w:rsid w:val="00A72210"/>
    <w:rsid w:val="00A75B82"/>
    <w:rsid w:val="00A765AC"/>
    <w:rsid w:val="00A83A17"/>
    <w:rsid w:val="00A85027"/>
    <w:rsid w:val="00A87E15"/>
    <w:rsid w:val="00AA0064"/>
    <w:rsid w:val="00AA2C1B"/>
    <w:rsid w:val="00AA333A"/>
    <w:rsid w:val="00AA3CB7"/>
    <w:rsid w:val="00AA3FAE"/>
    <w:rsid w:val="00AA43E5"/>
    <w:rsid w:val="00AA7EAE"/>
    <w:rsid w:val="00AB304B"/>
    <w:rsid w:val="00AC214F"/>
    <w:rsid w:val="00AC3051"/>
    <w:rsid w:val="00AC6372"/>
    <w:rsid w:val="00AC7A35"/>
    <w:rsid w:val="00AD301A"/>
    <w:rsid w:val="00AE1953"/>
    <w:rsid w:val="00AE3826"/>
    <w:rsid w:val="00AE6011"/>
    <w:rsid w:val="00AE64E3"/>
    <w:rsid w:val="00AE6965"/>
    <w:rsid w:val="00AF1285"/>
    <w:rsid w:val="00AF2710"/>
    <w:rsid w:val="00B00FA0"/>
    <w:rsid w:val="00B03F05"/>
    <w:rsid w:val="00B205DD"/>
    <w:rsid w:val="00B21234"/>
    <w:rsid w:val="00B226EC"/>
    <w:rsid w:val="00B236AE"/>
    <w:rsid w:val="00B25068"/>
    <w:rsid w:val="00B25314"/>
    <w:rsid w:val="00B33EE7"/>
    <w:rsid w:val="00B36BE9"/>
    <w:rsid w:val="00B36DB5"/>
    <w:rsid w:val="00B403D4"/>
    <w:rsid w:val="00B475EE"/>
    <w:rsid w:val="00B51988"/>
    <w:rsid w:val="00B5693F"/>
    <w:rsid w:val="00B63582"/>
    <w:rsid w:val="00B76C9C"/>
    <w:rsid w:val="00B80225"/>
    <w:rsid w:val="00B91029"/>
    <w:rsid w:val="00B936EA"/>
    <w:rsid w:val="00BA1A39"/>
    <w:rsid w:val="00BB03AA"/>
    <w:rsid w:val="00BC2F24"/>
    <w:rsid w:val="00BC5C55"/>
    <w:rsid w:val="00BC717B"/>
    <w:rsid w:val="00BD07F6"/>
    <w:rsid w:val="00BD3255"/>
    <w:rsid w:val="00BE3AF0"/>
    <w:rsid w:val="00BE3ECD"/>
    <w:rsid w:val="00BE56D3"/>
    <w:rsid w:val="00BE66BB"/>
    <w:rsid w:val="00BE7920"/>
    <w:rsid w:val="00C01CA9"/>
    <w:rsid w:val="00C0232F"/>
    <w:rsid w:val="00C0445B"/>
    <w:rsid w:val="00C07359"/>
    <w:rsid w:val="00C07627"/>
    <w:rsid w:val="00C1498E"/>
    <w:rsid w:val="00C16F07"/>
    <w:rsid w:val="00C220CF"/>
    <w:rsid w:val="00C25C60"/>
    <w:rsid w:val="00C3047B"/>
    <w:rsid w:val="00C31487"/>
    <w:rsid w:val="00C33EEF"/>
    <w:rsid w:val="00C35774"/>
    <w:rsid w:val="00C447AC"/>
    <w:rsid w:val="00C448F4"/>
    <w:rsid w:val="00C472BE"/>
    <w:rsid w:val="00C50F28"/>
    <w:rsid w:val="00C53D68"/>
    <w:rsid w:val="00C61623"/>
    <w:rsid w:val="00C65F68"/>
    <w:rsid w:val="00C663F0"/>
    <w:rsid w:val="00C733E5"/>
    <w:rsid w:val="00C75852"/>
    <w:rsid w:val="00C758A1"/>
    <w:rsid w:val="00C81BA0"/>
    <w:rsid w:val="00C83745"/>
    <w:rsid w:val="00C84013"/>
    <w:rsid w:val="00C92F7E"/>
    <w:rsid w:val="00C93460"/>
    <w:rsid w:val="00C97A48"/>
    <w:rsid w:val="00CA11A4"/>
    <w:rsid w:val="00CA1662"/>
    <w:rsid w:val="00CA2F8B"/>
    <w:rsid w:val="00CB3AF7"/>
    <w:rsid w:val="00CB786B"/>
    <w:rsid w:val="00CC03CF"/>
    <w:rsid w:val="00CC1A0C"/>
    <w:rsid w:val="00CC4341"/>
    <w:rsid w:val="00CC5834"/>
    <w:rsid w:val="00CC5F4B"/>
    <w:rsid w:val="00CC62E8"/>
    <w:rsid w:val="00CC72B0"/>
    <w:rsid w:val="00CD0C0C"/>
    <w:rsid w:val="00CD3114"/>
    <w:rsid w:val="00CD729C"/>
    <w:rsid w:val="00CE298A"/>
    <w:rsid w:val="00CE3E0A"/>
    <w:rsid w:val="00CE565B"/>
    <w:rsid w:val="00CE7C33"/>
    <w:rsid w:val="00CF2621"/>
    <w:rsid w:val="00CF477A"/>
    <w:rsid w:val="00CF4D2F"/>
    <w:rsid w:val="00CF781D"/>
    <w:rsid w:val="00D01B08"/>
    <w:rsid w:val="00D104F6"/>
    <w:rsid w:val="00D13979"/>
    <w:rsid w:val="00D16925"/>
    <w:rsid w:val="00D20EDC"/>
    <w:rsid w:val="00D226CE"/>
    <w:rsid w:val="00D242C5"/>
    <w:rsid w:val="00D26BF2"/>
    <w:rsid w:val="00D26F6E"/>
    <w:rsid w:val="00D27F50"/>
    <w:rsid w:val="00D35939"/>
    <w:rsid w:val="00D43587"/>
    <w:rsid w:val="00D43FDB"/>
    <w:rsid w:val="00D45C4F"/>
    <w:rsid w:val="00D526C9"/>
    <w:rsid w:val="00D533AB"/>
    <w:rsid w:val="00D5676C"/>
    <w:rsid w:val="00D577F8"/>
    <w:rsid w:val="00D57EF6"/>
    <w:rsid w:val="00D6107C"/>
    <w:rsid w:val="00D635A8"/>
    <w:rsid w:val="00D73418"/>
    <w:rsid w:val="00D74DD4"/>
    <w:rsid w:val="00D75DA1"/>
    <w:rsid w:val="00D76F6E"/>
    <w:rsid w:val="00D801F5"/>
    <w:rsid w:val="00D851CA"/>
    <w:rsid w:val="00D85925"/>
    <w:rsid w:val="00D869B7"/>
    <w:rsid w:val="00D92865"/>
    <w:rsid w:val="00D95016"/>
    <w:rsid w:val="00D956D6"/>
    <w:rsid w:val="00D96DF4"/>
    <w:rsid w:val="00D971A3"/>
    <w:rsid w:val="00D9742C"/>
    <w:rsid w:val="00DA0578"/>
    <w:rsid w:val="00DA4EBC"/>
    <w:rsid w:val="00DA6317"/>
    <w:rsid w:val="00DB020D"/>
    <w:rsid w:val="00DB113C"/>
    <w:rsid w:val="00DB22CF"/>
    <w:rsid w:val="00DB5E41"/>
    <w:rsid w:val="00DC00CD"/>
    <w:rsid w:val="00DC0D46"/>
    <w:rsid w:val="00DC21C1"/>
    <w:rsid w:val="00DC2554"/>
    <w:rsid w:val="00DC27A2"/>
    <w:rsid w:val="00DC2B66"/>
    <w:rsid w:val="00DC3576"/>
    <w:rsid w:val="00DC494E"/>
    <w:rsid w:val="00DC4A89"/>
    <w:rsid w:val="00DD4A2B"/>
    <w:rsid w:val="00DD4FF8"/>
    <w:rsid w:val="00DE15ED"/>
    <w:rsid w:val="00DE44DC"/>
    <w:rsid w:val="00DF1E8D"/>
    <w:rsid w:val="00DF66F0"/>
    <w:rsid w:val="00DF6E59"/>
    <w:rsid w:val="00E00799"/>
    <w:rsid w:val="00E00E64"/>
    <w:rsid w:val="00E026F9"/>
    <w:rsid w:val="00E053C3"/>
    <w:rsid w:val="00E06C9B"/>
    <w:rsid w:val="00E13436"/>
    <w:rsid w:val="00E15030"/>
    <w:rsid w:val="00E22EFA"/>
    <w:rsid w:val="00E2767D"/>
    <w:rsid w:val="00E27EA4"/>
    <w:rsid w:val="00E345CB"/>
    <w:rsid w:val="00E3573E"/>
    <w:rsid w:val="00E37BD6"/>
    <w:rsid w:val="00E45A53"/>
    <w:rsid w:val="00E51052"/>
    <w:rsid w:val="00E52A20"/>
    <w:rsid w:val="00E55256"/>
    <w:rsid w:val="00E55CE1"/>
    <w:rsid w:val="00E55D1E"/>
    <w:rsid w:val="00E616FB"/>
    <w:rsid w:val="00E62A8E"/>
    <w:rsid w:val="00E673B3"/>
    <w:rsid w:val="00E67471"/>
    <w:rsid w:val="00E730BA"/>
    <w:rsid w:val="00E75FF9"/>
    <w:rsid w:val="00E76D60"/>
    <w:rsid w:val="00E8113F"/>
    <w:rsid w:val="00E86B58"/>
    <w:rsid w:val="00E87FD6"/>
    <w:rsid w:val="00E96256"/>
    <w:rsid w:val="00EA3E46"/>
    <w:rsid w:val="00EA7B56"/>
    <w:rsid w:val="00EB0F40"/>
    <w:rsid w:val="00EB1001"/>
    <w:rsid w:val="00EB4E5F"/>
    <w:rsid w:val="00EB6CFC"/>
    <w:rsid w:val="00EC77A0"/>
    <w:rsid w:val="00EE1F08"/>
    <w:rsid w:val="00EE29DC"/>
    <w:rsid w:val="00EE3198"/>
    <w:rsid w:val="00EE4D51"/>
    <w:rsid w:val="00EE70D6"/>
    <w:rsid w:val="00EF0E7E"/>
    <w:rsid w:val="00EF576D"/>
    <w:rsid w:val="00EF57C9"/>
    <w:rsid w:val="00F00BFF"/>
    <w:rsid w:val="00F017C8"/>
    <w:rsid w:val="00F02CF5"/>
    <w:rsid w:val="00F03209"/>
    <w:rsid w:val="00F0569A"/>
    <w:rsid w:val="00F06A89"/>
    <w:rsid w:val="00F06CD6"/>
    <w:rsid w:val="00F11603"/>
    <w:rsid w:val="00F119B3"/>
    <w:rsid w:val="00F15BDB"/>
    <w:rsid w:val="00F22551"/>
    <w:rsid w:val="00F23BB4"/>
    <w:rsid w:val="00F23F71"/>
    <w:rsid w:val="00F2498B"/>
    <w:rsid w:val="00F27DE5"/>
    <w:rsid w:val="00F35A58"/>
    <w:rsid w:val="00F376F2"/>
    <w:rsid w:val="00F37BD9"/>
    <w:rsid w:val="00F37C75"/>
    <w:rsid w:val="00F41CAD"/>
    <w:rsid w:val="00F437EA"/>
    <w:rsid w:val="00F52357"/>
    <w:rsid w:val="00F55239"/>
    <w:rsid w:val="00F56AEB"/>
    <w:rsid w:val="00F56B33"/>
    <w:rsid w:val="00F572B4"/>
    <w:rsid w:val="00F6131B"/>
    <w:rsid w:val="00F62D40"/>
    <w:rsid w:val="00F65F71"/>
    <w:rsid w:val="00F7376B"/>
    <w:rsid w:val="00F75A55"/>
    <w:rsid w:val="00F769C9"/>
    <w:rsid w:val="00F77E5C"/>
    <w:rsid w:val="00F83896"/>
    <w:rsid w:val="00F862F2"/>
    <w:rsid w:val="00F90279"/>
    <w:rsid w:val="00F910F0"/>
    <w:rsid w:val="00F91AD1"/>
    <w:rsid w:val="00F961F5"/>
    <w:rsid w:val="00FA19E0"/>
    <w:rsid w:val="00FA25E1"/>
    <w:rsid w:val="00FA440F"/>
    <w:rsid w:val="00FC144A"/>
    <w:rsid w:val="00FC1D89"/>
    <w:rsid w:val="00FC3621"/>
    <w:rsid w:val="00FC4A3C"/>
    <w:rsid w:val="00FC6BB4"/>
    <w:rsid w:val="00FD7D72"/>
    <w:rsid w:val="00FE008A"/>
    <w:rsid w:val="00FE092E"/>
    <w:rsid w:val="00FE259C"/>
    <w:rsid w:val="00FE796C"/>
    <w:rsid w:val="00FF1C80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4FA3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AF2710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AF271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71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F2710"/>
    <w:rPr>
      <w:b/>
      <w:bCs/>
    </w:rPr>
  </w:style>
  <w:style w:type="paragraph" w:customStyle="1" w:styleId="Agreement">
    <w:name w:val="Agreement"/>
    <w:basedOn w:val="a"/>
    <w:next w:val="a"/>
    <w:qFormat/>
    <w:rsid w:val="00927B05"/>
    <w:pPr>
      <w:widowControl/>
      <w:numPr>
        <w:numId w:val="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B1">
    <w:name w:val="B1"/>
    <w:basedOn w:val="af1"/>
    <w:link w:val="B1Char1"/>
    <w:rsid w:val="00B8022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har"/>
    <w:rsid w:val="00B80225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1">
    <w:name w:val="List"/>
    <w:basedOn w:val="a"/>
    <w:uiPriority w:val="99"/>
    <w:semiHidden/>
    <w:unhideWhenUsed/>
    <w:rsid w:val="00B80225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B80225"/>
    <w:pPr>
      <w:ind w:leftChars="200" w:left="100" w:hangingChars="200" w:hanging="200"/>
      <w:contextualSpacing/>
    </w:pPr>
  </w:style>
  <w:style w:type="paragraph" w:styleId="af2">
    <w:name w:val="Normal (Web)"/>
    <w:basedOn w:val="a"/>
    <w:uiPriority w:val="99"/>
    <w:semiHidden/>
    <w:unhideWhenUsed/>
    <w:rsid w:val="003C53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12DD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12DD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3F0C-EC81-4187-A1D5-F48B8820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3197</TotalTime>
  <Pages>3</Pages>
  <Words>1057</Words>
  <Characters>6030</Characters>
  <Application>Microsoft Office Word</Application>
  <DocSecurity>0</DocSecurity>
  <Lines>50</Lines>
  <Paragraphs>14</Paragraphs>
  <ScaleCrop>false</ScaleCrop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530</cp:revision>
  <dcterms:created xsi:type="dcterms:W3CDTF">2021-01-15T02:11:00Z</dcterms:created>
  <dcterms:modified xsi:type="dcterms:W3CDTF">2022-11-04T01:27:00Z</dcterms:modified>
</cp:coreProperties>
</file>